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FB3A" w14:textId="77777777" w:rsidR="00661C41" w:rsidRPr="00472F58" w:rsidRDefault="00661C41" w:rsidP="00472F58">
      <w:pPr>
        <w:pStyle w:val="Sansinterligne"/>
        <w:jc w:val="center"/>
        <w:rPr>
          <w:rFonts w:ascii="Tahoma" w:hAnsi="Tahoma" w:cs="Tahoma"/>
          <w:b/>
          <w:bCs/>
          <w:sz w:val="24"/>
          <w:szCs w:val="24"/>
        </w:rPr>
      </w:pPr>
      <w:r w:rsidRPr="00472F58">
        <w:rPr>
          <w:rFonts w:ascii="Tahoma" w:hAnsi="Tahoma" w:cs="Tahoma"/>
          <w:b/>
          <w:bCs/>
          <w:sz w:val="24"/>
          <w:szCs w:val="24"/>
        </w:rPr>
        <w:t>7-22 février et 7-15 mars</w:t>
      </w:r>
    </w:p>
    <w:p w14:paraId="4DA5B15E" w14:textId="77777777" w:rsidR="00661C41" w:rsidRPr="00472F58" w:rsidRDefault="00661C41" w:rsidP="00472F58">
      <w:pPr>
        <w:pStyle w:val="Sansinterligne"/>
        <w:jc w:val="center"/>
        <w:rPr>
          <w:rFonts w:ascii="Tahoma" w:hAnsi="Tahoma" w:cs="Tahoma"/>
          <w:b/>
          <w:bCs/>
          <w:sz w:val="24"/>
          <w:szCs w:val="24"/>
        </w:rPr>
      </w:pPr>
      <w:r w:rsidRPr="00472F58">
        <w:rPr>
          <w:rFonts w:ascii="Tahoma" w:hAnsi="Tahoma" w:cs="Tahoma"/>
          <w:b/>
          <w:bCs/>
          <w:sz w:val="24"/>
          <w:szCs w:val="24"/>
        </w:rPr>
        <w:t>Devenez bénévole pour les Jeux olympiques et paralympiques d'hiver 2026</w:t>
      </w:r>
    </w:p>
    <w:p w14:paraId="6892400F" w14:textId="77777777" w:rsidR="00661C41" w:rsidRDefault="00661C41" w:rsidP="00661C41">
      <w:pPr>
        <w:pStyle w:val="Sansinterligne"/>
        <w:rPr>
          <w:rFonts w:ascii="Tahoma" w:hAnsi="Tahoma" w:cs="Tahoma"/>
          <w:sz w:val="24"/>
          <w:szCs w:val="24"/>
        </w:rPr>
      </w:pPr>
    </w:p>
    <w:p w14:paraId="77493873" w14:textId="77777777" w:rsidR="00472F58" w:rsidRPr="00472F58" w:rsidRDefault="00472F58" w:rsidP="00661C41">
      <w:pPr>
        <w:pStyle w:val="Sansinterligne"/>
        <w:rPr>
          <w:rFonts w:ascii="Tahoma" w:hAnsi="Tahoma" w:cs="Tahoma"/>
          <w:sz w:val="24"/>
          <w:szCs w:val="24"/>
        </w:rPr>
      </w:pPr>
    </w:p>
    <w:p w14:paraId="4DB06247" w14:textId="77777777"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Les Jeux olympiques et paralympiques d'hiver de 2026 représentent pour Milan et pour tout le diocèse un moment spécial : une occasion unique de rencontrer des personnes venues du monde entier, de témoigner de la fraternité et de vivre en tant que protagonistes un événement qui parle de courage, d'engagement, de dialogue et de paix.</w:t>
      </w:r>
    </w:p>
    <w:p w14:paraId="486DECDB" w14:textId="77777777" w:rsidR="00661C41" w:rsidRPr="00472F58" w:rsidRDefault="00661C41" w:rsidP="00472F58">
      <w:pPr>
        <w:pStyle w:val="Sansinterligne"/>
        <w:jc w:val="both"/>
        <w:rPr>
          <w:rFonts w:ascii="Tahoma" w:hAnsi="Tahoma" w:cs="Tahoma"/>
          <w:sz w:val="24"/>
          <w:szCs w:val="24"/>
        </w:rPr>
      </w:pPr>
    </w:p>
    <w:p w14:paraId="5634EF71" w14:textId="77777777"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Depuis le 24 juin 2019, jour où la place Gae Aulenti, animée par les jeunes des oratoires, a accueilli l'annonce de l'attribution des Jeux à Milan-Cortina, notre Église ambrosienne a choisi d'accompagner ce parcours par un cheminement éducatif et spirituel ancré dans les valeurs de l'olympisme.</w:t>
      </w:r>
    </w:p>
    <w:p w14:paraId="47D2937F" w14:textId="77777777" w:rsidR="00661C41" w:rsidRPr="00472F58" w:rsidRDefault="00661C41" w:rsidP="00472F58">
      <w:pPr>
        <w:pStyle w:val="Sansinterligne"/>
        <w:jc w:val="both"/>
        <w:rPr>
          <w:rFonts w:ascii="Tahoma" w:hAnsi="Tahoma" w:cs="Tahoma"/>
          <w:sz w:val="24"/>
          <w:szCs w:val="24"/>
        </w:rPr>
      </w:pPr>
    </w:p>
    <w:p w14:paraId="3B95F323" w14:textId="77777777" w:rsidR="00661C41" w:rsidRDefault="00661C41" w:rsidP="00472F58">
      <w:pPr>
        <w:pStyle w:val="Sansinterligne"/>
        <w:jc w:val="both"/>
        <w:rPr>
          <w:rFonts w:ascii="Tahoma" w:hAnsi="Tahoma" w:cs="Tahoma"/>
          <w:sz w:val="24"/>
          <w:szCs w:val="24"/>
        </w:rPr>
      </w:pPr>
      <w:r w:rsidRPr="00472F58">
        <w:rPr>
          <w:rFonts w:ascii="Tahoma" w:hAnsi="Tahoma" w:cs="Tahoma"/>
          <w:sz w:val="24"/>
          <w:szCs w:val="24"/>
        </w:rPr>
        <w:t xml:space="preserve">De 2022 à 2025, le projet </w:t>
      </w:r>
      <w:proofErr w:type="spellStart"/>
      <w:r w:rsidRPr="00472F58">
        <w:rPr>
          <w:rFonts w:ascii="Tahoma" w:hAnsi="Tahoma" w:cs="Tahoma"/>
          <w:sz w:val="24"/>
          <w:szCs w:val="24"/>
        </w:rPr>
        <w:t>OraSport</w:t>
      </w:r>
      <w:proofErr w:type="spellEnd"/>
      <w:r w:rsidRPr="00472F58">
        <w:rPr>
          <w:rFonts w:ascii="Tahoma" w:hAnsi="Tahoma" w:cs="Tahoma"/>
          <w:sz w:val="24"/>
          <w:szCs w:val="24"/>
        </w:rPr>
        <w:t xml:space="preserve"> on Fire Tour a apporté dans tout le diocèse la « lumière des oratoires » : une torche qui a traversé des centaines de communautés, d'écoles, de clubs sportifs et de décanats, générant plus de 200 événements festifs, ludiques, de témoignages et de formation.</w:t>
      </w:r>
    </w:p>
    <w:p w14:paraId="7A2BE929" w14:textId="77777777" w:rsidR="00472F58" w:rsidRPr="00472F58" w:rsidRDefault="00472F58" w:rsidP="00472F58">
      <w:pPr>
        <w:pStyle w:val="Sansinterligne"/>
        <w:jc w:val="both"/>
        <w:rPr>
          <w:rFonts w:ascii="Tahoma" w:hAnsi="Tahoma" w:cs="Tahoma"/>
          <w:sz w:val="24"/>
          <w:szCs w:val="24"/>
        </w:rPr>
      </w:pPr>
    </w:p>
    <w:p w14:paraId="029D506C" w14:textId="77777777"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Chaque année, une valeur de la Charte olympique a guidé le parcours :</w:t>
      </w:r>
    </w:p>
    <w:p w14:paraId="7419743F" w14:textId="77777777" w:rsidR="00472F58" w:rsidRDefault="00472F58" w:rsidP="00472F58">
      <w:pPr>
        <w:pStyle w:val="Sansinterligne"/>
        <w:jc w:val="both"/>
        <w:rPr>
          <w:rFonts w:ascii="Tahoma" w:hAnsi="Tahoma" w:cs="Tahoma"/>
          <w:sz w:val="24"/>
          <w:szCs w:val="24"/>
        </w:rPr>
      </w:pPr>
    </w:p>
    <w:p w14:paraId="6822F661" w14:textId="44869D1C" w:rsidR="00661C41" w:rsidRPr="00472F58" w:rsidRDefault="00661C41" w:rsidP="00472F58">
      <w:pPr>
        <w:pStyle w:val="Sansinterligne"/>
        <w:ind w:firstLine="708"/>
        <w:jc w:val="both"/>
        <w:rPr>
          <w:rFonts w:ascii="Tahoma" w:hAnsi="Tahoma" w:cs="Tahoma"/>
          <w:sz w:val="24"/>
          <w:szCs w:val="24"/>
        </w:rPr>
      </w:pPr>
      <w:r w:rsidRPr="00472F58">
        <w:rPr>
          <w:rFonts w:ascii="Tahoma" w:hAnsi="Tahoma" w:cs="Tahoma"/>
          <w:sz w:val="24"/>
          <w:szCs w:val="24"/>
        </w:rPr>
        <w:t xml:space="preserve">– Excellence </w:t>
      </w:r>
      <w:r w:rsidR="00472F58">
        <w:rPr>
          <w:rFonts w:ascii="Tahoma" w:hAnsi="Tahoma" w:cs="Tahoma"/>
          <w:sz w:val="24"/>
          <w:szCs w:val="24"/>
        </w:rPr>
        <w:tab/>
      </w:r>
      <w:r w:rsidR="00472F58">
        <w:rPr>
          <w:rFonts w:ascii="Tahoma" w:hAnsi="Tahoma" w:cs="Tahoma"/>
          <w:sz w:val="24"/>
          <w:szCs w:val="24"/>
        </w:rPr>
        <w:tab/>
      </w:r>
      <w:r w:rsidRPr="00472F58">
        <w:rPr>
          <w:rFonts w:ascii="Tahoma" w:hAnsi="Tahoma" w:cs="Tahoma"/>
          <w:sz w:val="24"/>
          <w:szCs w:val="24"/>
        </w:rPr>
        <w:t>(2022-23)</w:t>
      </w:r>
    </w:p>
    <w:p w14:paraId="2052DB75" w14:textId="4CD16C8B" w:rsidR="00661C41" w:rsidRPr="00472F58" w:rsidRDefault="00661C41" w:rsidP="00472F58">
      <w:pPr>
        <w:pStyle w:val="Sansinterligne"/>
        <w:ind w:firstLine="708"/>
        <w:jc w:val="both"/>
        <w:rPr>
          <w:rFonts w:ascii="Tahoma" w:hAnsi="Tahoma" w:cs="Tahoma"/>
          <w:sz w:val="24"/>
          <w:szCs w:val="24"/>
        </w:rPr>
      </w:pPr>
      <w:r w:rsidRPr="00472F58">
        <w:rPr>
          <w:rFonts w:ascii="Tahoma" w:hAnsi="Tahoma" w:cs="Tahoma"/>
          <w:sz w:val="24"/>
          <w:szCs w:val="24"/>
        </w:rPr>
        <w:t xml:space="preserve">– Amitié </w:t>
      </w:r>
      <w:r w:rsidR="00472F58">
        <w:rPr>
          <w:rFonts w:ascii="Tahoma" w:hAnsi="Tahoma" w:cs="Tahoma"/>
          <w:sz w:val="24"/>
          <w:szCs w:val="24"/>
        </w:rPr>
        <w:tab/>
      </w:r>
      <w:r w:rsidR="00472F58">
        <w:rPr>
          <w:rFonts w:ascii="Tahoma" w:hAnsi="Tahoma" w:cs="Tahoma"/>
          <w:sz w:val="24"/>
          <w:szCs w:val="24"/>
        </w:rPr>
        <w:tab/>
      </w:r>
      <w:r w:rsidRPr="00472F58">
        <w:rPr>
          <w:rFonts w:ascii="Tahoma" w:hAnsi="Tahoma" w:cs="Tahoma"/>
          <w:sz w:val="24"/>
          <w:szCs w:val="24"/>
        </w:rPr>
        <w:t>(2023-24)</w:t>
      </w:r>
    </w:p>
    <w:p w14:paraId="4883DCA5" w14:textId="7792F411" w:rsidR="00DB1711" w:rsidRPr="00472F58" w:rsidRDefault="00661C41" w:rsidP="00472F58">
      <w:pPr>
        <w:pStyle w:val="Sansinterligne"/>
        <w:ind w:firstLine="708"/>
        <w:jc w:val="both"/>
        <w:rPr>
          <w:rFonts w:ascii="Tahoma" w:hAnsi="Tahoma" w:cs="Tahoma"/>
          <w:sz w:val="24"/>
          <w:szCs w:val="24"/>
        </w:rPr>
      </w:pPr>
      <w:r w:rsidRPr="00472F58">
        <w:rPr>
          <w:rFonts w:ascii="Tahoma" w:hAnsi="Tahoma" w:cs="Tahoma"/>
          <w:sz w:val="24"/>
          <w:szCs w:val="24"/>
        </w:rPr>
        <w:t xml:space="preserve">– Respect </w:t>
      </w:r>
      <w:r w:rsidR="00472F58">
        <w:rPr>
          <w:rFonts w:ascii="Tahoma" w:hAnsi="Tahoma" w:cs="Tahoma"/>
          <w:sz w:val="24"/>
          <w:szCs w:val="24"/>
        </w:rPr>
        <w:tab/>
      </w:r>
      <w:r w:rsidR="00472F58">
        <w:rPr>
          <w:rFonts w:ascii="Tahoma" w:hAnsi="Tahoma" w:cs="Tahoma"/>
          <w:sz w:val="24"/>
          <w:szCs w:val="24"/>
        </w:rPr>
        <w:tab/>
      </w:r>
      <w:r w:rsidRPr="00472F58">
        <w:rPr>
          <w:rFonts w:ascii="Tahoma" w:hAnsi="Tahoma" w:cs="Tahoma"/>
          <w:sz w:val="24"/>
          <w:szCs w:val="24"/>
        </w:rPr>
        <w:t>(2024-25)</w:t>
      </w:r>
    </w:p>
    <w:p w14:paraId="3468B83B" w14:textId="77777777" w:rsidR="00661C41" w:rsidRPr="00472F58" w:rsidRDefault="00661C41" w:rsidP="00472F58">
      <w:pPr>
        <w:pStyle w:val="Sansinterligne"/>
        <w:jc w:val="both"/>
        <w:rPr>
          <w:rFonts w:ascii="Tahoma" w:hAnsi="Tahoma" w:cs="Tahoma"/>
          <w:sz w:val="24"/>
          <w:szCs w:val="24"/>
        </w:rPr>
      </w:pPr>
    </w:p>
    <w:p w14:paraId="30707DCF" w14:textId="77777777"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Des milliers de jeunes, de familles, de catéchistes, d'enseignants et d'entraîneurs ont participé activement, redécouvrant dans le sport un langage universel capable d'éduquer à la loyauté, à la collaboration, à la prise en charge des fragilités et à la construction de la paix.</w:t>
      </w:r>
    </w:p>
    <w:p w14:paraId="28E6E3D1" w14:textId="77777777" w:rsidR="00472F58" w:rsidRDefault="00472F58" w:rsidP="00472F58">
      <w:pPr>
        <w:pStyle w:val="Sansinterligne"/>
        <w:jc w:val="both"/>
        <w:rPr>
          <w:rFonts w:ascii="Tahoma" w:hAnsi="Tahoma" w:cs="Tahoma"/>
          <w:sz w:val="24"/>
          <w:szCs w:val="24"/>
        </w:rPr>
      </w:pPr>
    </w:p>
    <w:p w14:paraId="669747E3" w14:textId="5BAA21FE"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À l'approche des Jeux olympiques, le diocèse souhaite poursuivre dans cette voie en offrant aux jeunes la possibilité de s'engager personnellement pendant la durée des Jeux.</w:t>
      </w:r>
    </w:p>
    <w:p w14:paraId="54ADB990" w14:textId="77777777" w:rsidR="00661C41" w:rsidRPr="00472F58" w:rsidRDefault="00661C41" w:rsidP="00472F58">
      <w:pPr>
        <w:pStyle w:val="Sansinterligne"/>
        <w:jc w:val="both"/>
        <w:rPr>
          <w:rFonts w:ascii="Tahoma" w:hAnsi="Tahoma" w:cs="Tahoma"/>
          <w:sz w:val="24"/>
          <w:szCs w:val="24"/>
        </w:rPr>
      </w:pPr>
    </w:p>
    <w:p w14:paraId="27B4AAF2" w14:textId="77777777" w:rsidR="00661C41" w:rsidRDefault="00661C41" w:rsidP="00472F58">
      <w:pPr>
        <w:pStyle w:val="Sansinterligne"/>
        <w:jc w:val="both"/>
        <w:rPr>
          <w:rFonts w:ascii="Tahoma" w:hAnsi="Tahoma" w:cs="Tahoma"/>
          <w:sz w:val="24"/>
          <w:szCs w:val="24"/>
        </w:rPr>
      </w:pPr>
      <w:r w:rsidRPr="00472F58">
        <w:rPr>
          <w:rFonts w:ascii="Tahoma" w:hAnsi="Tahoma" w:cs="Tahoma"/>
          <w:sz w:val="24"/>
          <w:szCs w:val="24"/>
        </w:rPr>
        <w:t>ÊTRE BÉNÉVOLE DANS UNE VILLE ACCUEILLANTE</w:t>
      </w:r>
    </w:p>
    <w:p w14:paraId="724EA423" w14:textId="77777777" w:rsidR="00472F58" w:rsidRPr="00472F58" w:rsidRDefault="00472F58" w:rsidP="00472F58">
      <w:pPr>
        <w:pStyle w:val="Sansinterligne"/>
        <w:jc w:val="both"/>
        <w:rPr>
          <w:rFonts w:ascii="Tahoma" w:hAnsi="Tahoma" w:cs="Tahoma"/>
          <w:sz w:val="24"/>
          <w:szCs w:val="24"/>
        </w:rPr>
      </w:pPr>
    </w:p>
    <w:p w14:paraId="590ED364" w14:textId="77777777" w:rsidR="00661C41" w:rsidRDefault="00661C41" w:rsidP="00472F58">
      <w:pPr>
        <w:pStyle w:val="Sansinterligne"/>
        <w:jc w:val="both"/>
        <w:rPr>
          <w:rFonts w:ascii="Tahoma" w:hAnsi="Tahoma" w:cs="Tahoma"/>
          <w:sz w:val="24"/>
          <w:szCs w:val="24"/>
        </w:rPr>
      </w:pPr>
      <w:r w:rsidRPr="00472F58">
        <w:rPr>
          <w:rFonts w:ascii="Tahoma" w:hAnsi="Tahoma" w:cs="Tahoma"/>
          <w:sz w:val="24"/>
          <w:szCs w:val="24"/>
        </w:rPr>
        <w:t>Pendant la période des Jeux olympiques (7-22 février 2026) et des Jeux paralympiques (7-15 mars 2026), le diocèse de Milan proposera un riche programme d'initiatives éducatives, culturelles et spirituelles ouvertes à tous ceux qui vivront dans la ville pendant ces jours-là.</w:t>
      </w:r>
    </w:p>
    <w:p w14:paraId="4CA7236E" w14:textId="77777777" w:rsidR="00472F58" w:rsidRPr="00472F58" w:rsidRDefault="00472F58" w:rsidP="00472F58">
      <w:pPr>
        <w:pStyle w:val="Sansinterligne"/>
        <w:jc w:val="both"/>
        <w:rPr>
          <w:rFonts w:ascii="Tahoma" w:hAnsi="Tahoma" w:cs="Tahoma"/>
          <w:sz w:val="24"/>
          <w:szCs w:val="24"/>
        </w:rPr>
      </w:pPr>
    </w:p>
    <w:p w14:paraId="28D07620" w14:textId="77777777" w:rsidR="00661C41" w:rsidRPr="00472F58" w:rsidRDefault="00661C41" w:rsidP="00472F58">
      <w:pPr>
        <w:pStyle w:val="Sansinterligne"/>
        <w:jc w:val="both"/>
        <w:rPr>
          <w:rFonts w:ascii="Tahoma" w:hAnsi="Tahoma" w:cs="Tahoma"/>
          <w:sz w:val="24"/>
          <w:szCs w:val="24"/>
        </w:rPr>
      </w:pPr>
      <w:r w:rsidRPr="00472F58">
        <w:rPr>
          <w:rFonts w:ascii="Tahoma" w:hAnsi="Tahoma" w:cs="Tahoma"/>
          <w:sz w:val="24"/>
          <w:szCs w:val="24"/>
        </w:rPr>
        <w:t>Les jeunes bénévoles (âgés de 18 à 35 ans) auront la possibilité de se mettre au service dans l'un des différents domaines prévus, en choisissant celui qui correspond le mieux à leurs talents et à leur sensibilité.</w:t>
      </w:r>
    </w:p>
    <w:p w14:paraId="60507873" w14:textId="77777777" w:rsidR="00661C41" w:rsidRPr="00472F58" w:rsidRDefault="00661C41" w:rsidP="00661C41">
      <w:pPr>
        <w:pStyle w:val="Sansinterligne"/>
        <w:rPr>
          <w:rFonts w:ascii="Tahoma" w:hAnsi="Tahoma" w:cs="Tahoma"/>
          <w:sz w:val="24"/>
          <w:szCs w:val="24"/>
        </w:rPr>
      </w:pPr>
    </w:p>
    <w:p w14:paraId="02ECEA58" w14:textId="77777777" w:rsidR="00472F58" w:rsidRDefault="00472F58" w:rsidP="00661C41">
      <w:pPr>
        <w:pStyle w:val="Sansinterligne"/>
        <w:rPr>
          <w:rFonts w:ascii="Tahoma" w:hAnsi="Tahoma" w:cs="Tahoma"/>
          <w:sz w:val="24"/>
          <w:szCs w:val="24"/>
        </w:rPr>
      </w:pPr>
    </w:p>
    <w:p w14:paraId="0A29B0EB" w14:textId="43071CE9"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Voici une présentation des activités auxquelles vous pouvez participer :</w:t>
      </w:r>
    </w:p>
    <w:p w14:paraId="7C74D260" w14:textId="77777777" w:rsidR="00661C41" w:rsidRPr="00472F58" w:rsidRDefault="00661C41" w:rsidP="00661C41">
      <w:pPr>
        <w:pStyle w:val="Sansinterligne"/>
        <w:rPr>
          <w:rFonts w:ascii="Tahoma" w:hAnsi="Tahoma" w:cs="Tahoma"/>
          <w:sz w:val="24"/>
          <w:szCs w:val="24"/>
        </w:rPr>
      </w:pPr>
    </w:p>
    <w:p w14:paraId="28B7B71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Accueil et orientation</w:t>
      </w:r>
    </w:p>
    <w:p w14:paraId="2AF8D8A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Accueillir les visiteurs, les groupes et les écoles.</w:t>
      </w:r>
    </w:p>
    <w:p w14:paraId="279D82CC"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Fournir des informations et un soutien logistique.</w:t>
      </w:r>
    </w:p>
    <w:p w14:paraId="60AFA20D"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Gérer les points d'information et le matériel.</w:t>
      </w:r>
    </w:p>
    <w:p w14:paraId="4CE8B3AC" w14:textId="77777777" w:rsidR="00661C41" w:rsidRPr="00472F58" w:rsidRDefault="00661C41" w:rsidP="00661C41">
      <w:pPr>
        <w:pStyle w:val="Sansinterligne"/>
        <w:rPr>
          <w:rFonts w:ascii="Tahoma" w:hAnsi="Tahoma" w:cs="Tahoma"/>
          <w:sz w:val="24"/>
          <w:szCs w:val="24"/>
        </w:rPr>
      </w:pPr>
    </w:p>
    <w:p w14:paraId="1641BD5B"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Accompagnement et guidage</w:t>
      </w:r>
    </w:p>
    <w:p w14:paraId="730A06CD"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Accompagner les participants dans les parcours et les activités.</w:t>
      </w:r>
    </w:p>
    <w:p w14:paraId="62B3CFE5"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Soutenir les guides et les opérateurs.</w:t>
      </w:r>
    </w:p>
    <w:p w14:paraId="5F5C55A9" w14:textId="273B73E9"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Assister les familles et les personnes ayant des besoins particuliers.</w:t>
      </w:r>
    </w:p>
    <w:p w14:paraId="1026113B" w14:textId="77777777" w:rsidR="00661C41" w:rsidRPr="00472F58" w:rsidRDefault="00661C41" w:rsidP="00661C41">
      <w:pPr>
        <w:pStyle w:val="Sansinterligne"/>
        <w:rPr>
          <w:rFonts w:ascii="Tahoma" w:hAnsi="Tahoma" w:cs="Tahoma"/>
          <w:sz w:val="24"/>
          <w:szCs w:val="24"/>
        </w:rPr>
      </w:pPr>
    </w:p>
    <w:p w14:paraId="33EC8BF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lastRenderedPageBreak/>
        <w:t>– Animation et implication</w:t>
      </w:r>
    </w:p>
    <w:p w14:paraId="14C3837D"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Gérer des jeux, des ateliers et des activités ludiques.</w:t>
      </w:r>
    </w:p>
    <w:p w14:paraId="2B9821B0"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Favoriser les rencontres et la socialisation entre les participants.</w:t>
      </w:r>
    </w:p>
    <w:p w14:paraId="06511729"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Créer des moments d'inclusion et de divertissement.</w:t>
      </w:r>
    </w:p>
    <w:p w14:paraId="6FF2388A" w14:textId="77777777" w:rsidR="00661C41" w:rsidRPr="00472F58" w:rsidRDefault="00661C41" w:rsidP="00661C41">
      <w:pPr>
        <w:pStyle w:val="Sansinterligne"/>
        <w:rPr>
          <w:rFonts w:ascii="Tahoma" w:hAnsi="Tahoma" w:cs="Tahoma"/>
          <w:sz w:val="24"/>
          <w:szCs w:val="24"/>
        </w:rPr>
      </w:pPr>
    </w:p>
    <w:p w14:paraId="3A6FEC43"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Soutien aux événements et aux activités artistiques/culturelles</w:t>
      </w:r>
    </w:p>
    <w:p w14:paraId="72C78FFE"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Aider à la gestion de concerts, de spectacles et d'expositions.</w:t>
      </w:r>
    </w:p>
    <w:p w14:paraId="6CEBF251"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Accueillir le public et soutenir les artistes ou les opérateurs culturels.</w:t>
      </w:r>
    </w:p>
    <w:p w14:paraId="32BBEEC2"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Gérer les flux et les espaces pendant les activités.</w:t>
      </w:r>
    </w:p>
    <w:p w14:paraId="6EC36084" w14:textId="77777777" w:rsidR="00661C41" w:rsidRPr="00472F58" w:rsidRDefault="00661C41" w:rsidP="00661C41">
      <w:pPr>
        <w:pStyle w:val="Sansinterligne"/>
        <w:rPr>
          <w:rFonts w:ascii="Tahoma" w:hAnsi="Tahoma" w:cs="Tahoma"/>
          <w:sz w:val="24"/>
          <w:szCs w:val="24"/>
        </w:rPr>
      </w:pPr>
    </w:p>
    <w:p w14:paraId="585A9233"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Soutien éducatif et scolaire</w:t>
      </w:r>
    </w:p>
    <w:p w14:paraId="25A79E3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Assister les enseignants et les opérateurs pendant les ateliers et les visites</w:t>
      </w:r>
    </w:p>
    <w:p w14:paraId="2A6EAA0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Soutenir les activités didactiques et l'accueil scolaire</w:t>
      </w:r>
    </w:p>
    <w:p w14:paraId="727ECCC0"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Soutien organisationnel et logistique</w:t>
      </w:r>
    </w:p>
    <w:p w14:paraId="0581D0A6" w14:textId="77777777" w:rsidR="00661C41" w:rsidRPr="00472F58" w:rsidRDefault="00661C41" w:rsidP="00661C41">
      <w:pPr>
        <w:pStyle w:val="Sansinterligne"/>
        <w:rPr>
          <w:rFonts w:ascii="Tahoma" w:hAnsi="Tahoma" w:cs="Tahoma"/>
          <w:sz w:val="24"/>
          <w:szCs w:val="24"/>
        </w:rPr>
      </w:pPr>
    </w:p>
    <w:p w14:paraId="602E1D2F"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Aider à la préparation et à la gestion des espaces et du matériel</w:t>
      </w:r>
    </w:p>
    <w:p w14:paraId="64228CB5"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Soutenir le déroulement des activités de manière générale</w:t>
      </w:r>
    </w:p>
    <w:p w14:paraId="1C7CE687"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Collaborer avec l'équipe organisationnelle</w:t>
      </w:r>
    </w:p>
    <w:p w14:paraId="7EA49CA9" w14:textId="77777777" w:rsidR="00661C41" w:rsidRPr="00472F58" w:rsidRDefault="00661C41" w:rsidP="00661C41">
      <w:pPr>
        <w:pStyle w:val="Sansinterligne"/>
        <w:rPr>
          <w:rFonts w:ascii="Tahoma" w:hAnsi="Tahoma" w:cs="Tahoma"/>
          <w:sz w:val="24"/>
          <w:szCs w:val="24"/>
        </w:rPr>
      </w:pPr>
    </w:p>
    <w:p w14:paraId="0C1AF483"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Inclusion et soutien multilingue</w:t>
      </w:r>
    </w:p>
    <w:p w14:paraId="0122F579"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Accueillir les visiteurs étrangers</w:t>
      </w:r>
    </w:p>
    <w:p w14:paraId="352FD90E"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Fournir une assistance linguistique</w:t>
      </w:r>
    </w:p>
    <w:p w14:paraId="07A6CD79"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Favoriser la participation de tous dans un environnement inclusif</w:t>
      </w:r>
    </w:p>
    <w:p w14:paraId="252562B4" w14:textId="77777777" w:rsidR="00661C41" w:rsidRPr="00472F58" w:rsidRDefault="00661C41" w:rsidP="00661C41">
      <w:pPr>
        <w:pStyle w:val="Sansinterligne"/>
        <w:rPr>
          <w:rFonts w:ascii="Tahoma" w:hAnsi="Tahoma" w:cs="Tahoma"/>
          <w:sz w:val="24"/>
          <w:szCs w:val="24"/>
        </w:rPr>
      </w:pPr>
    </w:p>
    <w:p w14:paraId="26485704"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 Communication</w:t>
      </w:r>
    </w:p>
    <w:p w14:paraId="403EF873"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Création de vidéos de présentation</w:t>
      </w:r>
    </w:p>
    <w:p w14:paraId="4ACE3A9E"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Collaborer à la création de matériel promotionnel pour les réseaux sociaux</w:t>
      </w:r>
    </w:p>
    <w:p w14:paraId="64AB91AB"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Soutenir les activités de relations publiques</w:t>
      </w:r>
    </w:p>
    <w:p w14:paraId="250037E5" w14:textId="77777777" w:rsidR="00661C41" w:rsidRPr="00472F58" w:rsidRDefault="00661C41" w:rsidP="00661C41">
      <w:pPr>
        <w:pStyle w:val="Sansinterligne"/>
        <w:rPr>
          <w:rFonts w:ascii="Tahoma" w:hAnsi="Tahoma" w:cs="Tahoma"/>
          <w:sz w:val="24"/>
          <w:szCs w:val="24"/>
        </w:rPr>
      </w:pPr>
    </w:p>
    <w:p w14:paraId="146D1FD0"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COMMENT S'INSCRIRE</w:t>
      </w:r>
    </w:p>
    <w:p w14:paraId="34581D86" w14:textId="33715EF1" w:rsidR="00472F58" w:rsidRDefault="00472F58" w:rsidP="00661C41">
      <w:pPr>
        <w:pStyle w:val="Sansinterligne"/>
        <w:rPr>
          <w:rFonts w:ascii="Tahoma" w:hAnsi="Tahoma" w:cs="Tahoma"/>
          <w:sz w:val="24"/>
          <w:szCs w:val="24"/>
        </w:rPr>
      </w:pPr>
    </w:p>
    <w:p w14:paraId="396A3D50" w14:textId="5363BD0A"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L'inscription est ouverte aux jeunes âgés de 18 à 35 ans.</w:t>
      </w:r>
    </w:p>
    <w:p w14:paraId="1F16F2FA" w14:textId="3BBEFC3B"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Pour participer en tant que bénévole, il suffit de remplir le formulaire en ligne et de choisir le domaine de service préféré parmi les différentes propositions.</w:t>
      </w:r>
    </w:p>
    <w:p w14:paraId="1697BF9B" w14:textId="77777777" w:rsidR="00661C41" w:rsidRPr="00472F58" w:rsidRDefault="00661C41" w:rsidP="00661C41">
      <w:pPr>
        <w:pStyle w:val="Sansinterligne"/>
        <w:rPr>
          <w:rFonts w:ascii="Tahoma" w:hAnsi="Tahoma" w:cs="Tahoma"/>
          <w:sz w:val="24"/>
          <w:szCs w:val="24"/>
        </w:rPr>
      </w:pPr>
    </w:p>
    <w:p w14:paraId="71799ABF" w14:textId="77777777" w:rsidR="00661C41" w:rsidRPr="00472F58" w:rsidRDefault="00661C41" w:rsidP="00661C41">
      <w:pPr>
        <w:pStyle w:val="Sansinterligne"/>
        <w:rPr>
          <w:rFonts w:ascii="Tahoma" w:hAnsi="Tahoma" w:cs="Tahoma"/>
          <w:sz w:val="24"/>
          <w:szCs w:val="24"/>
        </w:rPr>
      </w:pPr>
    </w:p>
    <w:p w14:paraId="6132799C" w14:textId="77777777" w:rsidR="00661C41" w:rsidRPr="00472F58" w:rsidRDefault="00661C41" w:rsidP="00661C41">
      <w:pPr>
        <w:pStyle w:val="Sansinterligne"/>
        <w:rPr>
          <w:rFonts w:ascii="Tahoma" w:hAnsi="Tahoma" w:cs="Tahoma"/>
          <w:sz w:val="24"/>
          <w:szCs w:val="24"/>
        </w:rPr>
      </w:pPr>
      <w:r w:rsidRPr="00472F58">
        <w:rPr>
          <w:rFonts w:ascii="Tahoma" w:hAnsi="Tahoma" w:cs="Tahoma"/>
          <w:sz w:val="24"/>
          <w:szCs w:val="24"/>
        </w:rPr>
        <w:t>Le diocèse de Milan invite tous les jeunes qui souhaitent s'engager à donner un peu de leur temps afin que, grâce au service, à la rencontre et à la fraternité, Milan puisse vraiment se montrer comme une « maison pour tous ».</w:t>
      </w:r>
    </w:p>
    <w:p w14:paraId="13CFF236" w14:textId="0C019E2D" w:rsidR="00661C41" w:rsidRPr="00472F58" w:rsidRDefault="00661C41" w:rsidP="00661C41">
      <w:pPr>
        <w:pStyle w:val="Sansinterligne"/>
        <w:rPr>
          <w:rFonts w:ascii="Tahoma" w:hAnsi="Tahoma" w:cs="Tahoma"/>
          <w:sz w:val="24"/>
          <w:szCs w:val="24"/>
        </w:rPr>
      </w:pPr>
    </w:p>
    <w:sectPr w:rsidR="00661C41" w:rsidRPr="00472F58" w:rsidSect="00472F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21"/>
    <w:rsid w:val="003E587B"/>
    <w:rsid w:val="00472F58"/>
    <w:rsid w:val="004C0FFD"/>
    <w:rsid w:val="00661C41"/>
    <w:rsid w:val="008C320B"/>
    <w:rsid w:val="00985C36"/>
    <w:rsid w:val="00B47B21"/>
    <w:rsid w:val="00DB1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63"/>
  <w15:chartTrackingRefBased/>
  <w15:docId w15:val="{B4CA00E7-4117-4241-A34F-95D01CD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7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7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7B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7B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7B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7B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7B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7B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7B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B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7B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7B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7B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7B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7B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7B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7B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7B21"/>
    <w:rPr>
      <w:rFonts w:eastAsiaTheme="majorEastAsia" w:cstheme="majorBidi"/>
      <w:color w:val="272727" w:themeColor="text1" w:themeTint="D8"/>
    </w:rPr>
  </w:style>
  <w:style w:type="paragraph" w:styleId="Titre">
    <w:name w:val="Title"/>
    <w:basedOn w:val="Normal"/>
    <w:next w:val="Normal"/>
    <w:link w:val="TitreCar"/>
    <w:uiPriority w:val="10"/>
    <w:qFormat/>
    <w:rsid w:val="00B47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7B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7B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7B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7B21"/>
    <w:pPr>
      <w:spacing w:before="160"/>
      <w:jc w:val="center"/>
    </w:pPr>
    <w:rPr>
      <w:i/>
      <w:iCs/>
      <w:color w:val="404040" w:themeColor="text1" w:themeTint="BF"/>
    </w:rPr>
  </w:style>
  <w:style w:type="character" w:customStyle="1" w:styleId="CitationCar">
    <w:name w:val="Citation Car"/>
    <w:basedOn w:val="Policepardfaut"/>
    <w:link w:val="Citation"/>
    <w:uiPriority w:val="29"/>
    <w:rsid w:val="00B47B21"/>
    <w:rPr>
      <w:i/>
      <w:iCs/>
      <w:color w:val="404040" w:themeColor="text1" w:themeTint="BF"/>
    </w:rPr>
  </w:style>
  <w:style w:type="paragraph" w:styleId="Paragraphedeliste">
    <w:name w:val="List Paragraph"/>
    <w:basedOn w:val="Normal"/>
    <w:uiPriority w:val="34"/>
    <w:qFormat/>
    <w:rsid w:val="00B47B21"/>
    <w:pPr>
      <w:ind w:left="720"/>
      <w:contextualSpacing/>
    </w:pPr>
  </w:style>
  <w:style w:type="character" w:styleId="Accentuationintense">
    <w:name w:val="Intense Emphasis"/>
    <w:basedOn w:val="Policepardfaut"/>
    <w:uiPriority w:val="21"/>
    <w:qFormat/>
    <w:rsid w:val="00B47B21"/>
    <w:rPr>
      <w:i/>
      <w:iCs/>
      <w:color w:val="0F4761" w:themeColor="accent1" w:themeShade="BF"/>
    </w:rPr>
  </w:style>
  <w:style w:type="paragraph" w:styleId="Citationintense">
    <w:name w:val="Intense Quote"/>
    <w:basedOn w:val="Normal"/>
    <w:next w:val="Normal"/>
    <w:link w:val="CitationintenseCar"/>
    <w:uiPriority w:val="30"/>
    <w:qFormat/>
    <w:rsid w:val="00B47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7B21"/>
    <w:rPr>
      <w:i/>
      <w:iCs/>
      <w:color w:val="0F4761" w:themeColor="accent1" w:themeShade="BF"/>
    </w:rPr>
  </w:style>
  <w:style w:type="character" w:styleId="Rfrenceintense">
    <w:name w:val="Intense Reference"/>
    <w:basedOn w:val="Policepardfaut"/>
    <w:uiPriority w:val="32"/>
    <w:qFormat/>
    <w:rsid w:val="00B47B21"/>
    <w:rPr>
      <w:b/>
      <w:bCs/>
      <w:smallCaps/>
      <w:color w:val="0F4761" w:themeColor="accent1" w:themeShade="BF"/>
      <w:spacing w:val="5"/>
    </w:rPr>
  </w:style>
  <w:style w:type="paragraph" w:styleId="Sansinterligne">
    <w:name w:val="No Spacing"/>
    <w:uiPriority w:val="1"/>
    <w:qFormat/>
    <w:rsid w:val="00661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656</Words>
  <Characters>3611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5</cp:revision>
  <dcterms:created xsi:type="dcterms:W3CDTF">2026-01-09T16:02:00Z</dcterms:created>
  <dcterms:modified xsi:type="dcterms:W3CDTF">2026-01-10T15:34:00Z</dcterms:modified>
</cp:coreProperties>
</file>